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5FF08" w14:textId="77777777" w:rsidR="00000B90" w:rsidRPr="00000B90" w:rsidRDefault="00000B90" w:rsidP="00000B90">
      <w:r w:rsidRPr="00000B90">
        <w:t>Week 5 - Discussion</w:t>
      </w:r>
    </w:p>
    <w:p w14:paraId="1335C52E" w14:textId="77777777" w:rsidR="00000B90" w:rsidRPr="00000B90" w:rsidRDefault="00000B90" w:rsidP="00000B90">
      <w:r w:rsidRPr="00000B90">
        <w:t>11 unread reply.11 reply.</w:t>
      </w:r>
    </w:p>
    <w:p w14:paraId="10DA1F26" w14:textId="77777777" w:rsidR="00000B90" w:rsidRPr="00000B90" w:rsidRDefault="00000B90" w:rsidP="00000B90">
      <w:r w:rsidRPr="00000B90">
        <w:t>Your initial discussion thread is due on Day 3 (Thursday) and you have until Day 7 (Monday) to respond to your classmates. Your grade will reflect both the quality of your initial post and the depth of your responses. Refer to the Discussion Forum Grading Rubric under the Settings icon above for guidance on how your discussion will be evaluated.</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360"/>
      </w:tblGrid>
      <w:tr w:rsidR="00000B90" w:rsidRPr="00000B90" w14:paraId="137BE637" w14:textId="77777777" w:rsidTr="00000B90">
        <w:trPr>
          <w:tblCellSpacing w:w="0" w:type="dxa"/>
        </w:trPr>
        <w:tc>
          <w:tcPr>
            <w:tcW w:w="0" w:type="auto"/>
            <w:vAlign w:val="center"/>
            <w:hideMark/>
          </w:tcPr>
          <w:p w14:paraId="1AE9B971" w14:textId="77777777" w:rsidR="00000B90" w:rsidRPr="00000B90" w:rsidRDefault="00000B90" w:rsidP="00000B90"/>
        </w:tc>
      </w:tr>
      <w:tr w:rsidR="00000B90" w:rsidRPr="00000B90" w14:paraId="6ED18370" w14:textId="77777777" w:rsidTr="00000B90">
        <w:trPr>
          <w:tblCellSpacing w:w="0" w:type="dxa"/>
        </w:trPr>
        <w:tc>
          <w:tcPr>
            <w:tcW w:w="0" w:type="auto"/>
            <w:shd w:val="clear" w:color="auto" w:fill="5B1951"/>
            <w:vAlign w:val="center"/>
            <w:hideMark/>
          </w:tcPr>
          <w:p w14:paraId="133B8E5F" w14:textId="77777777" w:rsidR="00000B90" w:rsidRPr="00000B90" w:rsidRDefault="00000B90" w:rsidP="00000B90">
            <w:r w:rsidRPr="00000B90">
              <w:rPr>
                <w:b/>
                <w:bCs/>
              </w:rPr>
              <w:t> Gender and Sexuality</w:t>
            </w:r>
          </w:p>
        </w:tc>
      </w:tr>
    </w:tbl>
    <w:p w14:paraId="76AC50FA" w14:textId="77777777" w:rsidR="00000B90" w:rsidRPr="00000B90" w:rsidRDefault="00000B90" w:rsidP="00000B90">
      <w:pPr>
        <w:rPr>
          <w:vanish/>
        </w:rPr>
      </w:pPr>
    </w:p>
    <w:tbl>
      <w:tblPr>
        <w:tblW w:w="5000" w:type="pct"/>
        <w:tblCellSpacing w:w="37" w:type="dxa"/>
        <w:tblCellMar>
          <w:top w:w="75" w:type="dxa"/>
          <w:left w:w="75" w:type="dxa"/>
          <w:bottom w:w="75" w:type="dxa"/>
          <w:right w:w="75" w:type="dxa"/>
        </w:tblCellMar>
        <w:tblLook w:val="04A0" w:firstRow="1" w:lastRow="0" w:firstColumn="1" w:lastColumn="0" w:noHBand="0" w:noVBand="1"/>
      </w:tblPr>
      <w:tblGrid>
        <w:gridCol w:w="1761"/>
        <w:gridCol w:w="7288"/>
        <w:gridCol w:w="311"/>
      </w:tblGrid>
      <w:tr w:rsidR="00000B90" w:rsidRPr="00000B90" w14:paraId="42AA90B5" w14:textId="77777777" w:rsidTr="00000B90">
        <w:trPr>
          <w:tblCellSpacing w:w="37" w:type="dxa"/>
        </w:trPr>
        <w:tc>
          <w:tcPr>
            <w:tcW w:w="0" w:type="auto"/>
            <w:hideMark/>
          </w:tcPr>
          <w:p w14:paraId="4BAB793C" w14:textId="45839337" w:rsidR="00000B90" w:rsidRPr="00000B90" w:rsidRDefault="00000B90" w:rsidP="00000B90">
            <w:r w:rsidRPr="00000B90">
              <w:drawing>
                <wp:inline distT="0" distB="0" distL="0" distR="0" wp14:anchorId="0E28EA13" wp14:editId="5BC5921F">
                  <wp:extent cx="952500" cy="485775"/>
                  <wp:effectExtent l="0" t="0" r="0" b="9525"/>
                  <wp:docPr id="4" name="Picture 4" descr="Prepar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pare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485775"/>
                          </a:xfrm>
                          <a:prstGeom prst="rect">
                            <a:avLst/>
                          </a:prstGeom>
                          <a:noFill/>
                          <a:ln>
                            <a:noFill/>
                          </a:ln>
                        </pic:spPr>
                      </pic:pic>
                    </a:graphicData>
                  </a:graphic>
                </wp:inline>
              </w:drawing>
            </w:r>
          </w:p>
        </w:tc>
        <w:tc>
          <w:tcPr>
            <w:tcW w:w="0" w:type="auto"/>
            <w:hideMark/>
          </w:tcPr>
          <w:p w14:paraId="0C56DABA" w14:textId="77777777" w:rsidR="00000B90" w:rsidRPr="00000B90" w:rsidRDefault="00000B90" w:rsidP="00000B90">
            <w:r w:rsidRPr="00000B90">
              <w:rPr>
                <w:b/>
                <w:bCs/>
              </w:rPr>
              <w:t>Prepare:</w:t>
            </w:r>
            <w:r w:rsidRPr="00000B90">
              <w:t> Read:</w:t>
            </w:r>
            <w:r w:rsidRPr="00000B90">
              <w:br/>
            </w:r>
            <w:r w:rsidRPr="00000B90">
              <w:br/>
              <w:t>Wiesner-Hanks, Merry E. </w:t>
            </w:r>
            <w:r w:rsidRPr="00000B90">
              <w:rPr>
                <w:i/>
                <w:iCs/>
              </w:rPr>
              <w:t>Gender in History: Global Perspectives</w:t>
            </w:r>
            <w:r w:rsidRPr="00000B90">
              <w:t>. 2nd ed. Malden, MA: Wiley-Blackwell, 2011.</w:t>
            </w:r>
          </w:p>
          <w:p w14:paraId="7B11C292" w14:textId="77777777" w:rsidR="00000B90" w:rsidRPr="00000B90" w:rsidRDefault="00000B90" w:rsidP="00000B90">
            <w:pPr>
              <w:numPr>
                <w:ilvl w:val="0"/>
                <w:numId w:val="1"/>
              </w:numPr>
            </w:pPr>
            <w:r w:rsidRPr="00000B90">
              <w:t>Chapter 8: Sexuality</w:t>
            </w:r>
          </w:p>
          <w:p w14:paraId="7362534C" w14:textId="77777777" w:rsidR="00000B90" w:rsidRPr="00000B90" w:rsidRDefault="00000B90" w:rsidP="00000B90">
            <w:r w:rsidRPr="00000B90">
              <w:t>Prior to posting, please review the following resources:</w:t>
            </w:r>
          </w:p>
          <w:p w14:paraId="1E2278FB" w14:textId="77777777" w:rsidR="00000B90" w:rsidRPr="00000B90" w:rsidRDefault="00000B90" w:rsidP="00000B90">
            <w:pPr>
              <w:numPr>
                <w:ilvl w:val="0"/>
                <w:numId w:val="2"/>
              </w:numPr>
            </w:pPr>
            <w:hyperlink r:id="rId6" w:tgtFrame="_blank" w:history="1">
              <w:r w:rsidRPr="00000B90">
                <w:rPr>
                  <w:rStyle w:val="Hyperlink"/>
                </w:rPr>
                <w:t>The Anatomy of a Discussion Board (Links to an external site</w:t>
              </w:r>
              <w:proofErr w:type="gramStart"/>
              <w:r w:rsidRPr="00000B90">
                <w:rPr>
                  <w:rStyle w:val="Hyperlink"/>
                </w:rPr>
                <w:t>.)Links</w:t>
              </w:r>
              <w:proofErr w:type="gramEnd"/>
              <w:r w:rsidRPr="00000B90">
                <w:rPr>
                  <w:rStyle w:val="Hyperlink"/>
                </w:rPr>
                <w:t xml:space="preserve"> to an external site.</w:t>
              </w:r>
            </w:hyperlink>
          </w:p>
          <w:p w14:paraId="2B87FE17" w14:textId="77777777" w:rsidR="00000B90" w:rsidRPr="00000B90" w:rsidRDefault="00000B90" w:rsidP="00000B90">
            <w:pPr>
              <w:numPr>
                <w:ilvl w:val="0"/>
                <w:numId w:val="2"/>
              </w:numPr>
            </w:pPr>
            <w:hyperlink r:id="rId7" w:tgtFrame="_blank" w:tooltip="Critical Thinking: A Guide to Skillful Reasoning" w:history="1">
              <w:r w:rsidRPr="00000B90">
                <w:rPr>
                  <w:rStyle w:val="Hyperlink"/>
                </w:rPr>
                <w:t>Critical Thinking: A Guide to Skillful Reasoning (Links to an external site</w:t>
              </w:r>
              <w:proofErr w:type="gramStart"/>
              <w:r w:rsidRPr="00000B90">
                <w:rPr>
                  <w:rStyle w:val="Hyperlink"/>
                </w:rPr>
                <w:t>.)Links</w:t>
              </w:r>
              <w:proofErr w:type="gramEnd"/>
              <w:r w:rsidRPr="00000B90">
                <w:rPr>
                  <w:rStyle w:val="Hyperlink"/>
                </w:rPr>
                <w:t xml:space="preserve"> to an external site.</w:t>
              </w:r>
            </w:hyperlink>
          </w:p>
          <w:p w14:paraId="1B2B8815" w14:textId="77777777" w:rsidR="00000B90" w:rsidRPr="00000B90" w:rsidRDefault="00000B90" w:rsidP="00000B90">
            <w:pPr>
              <w:numPr>
                <w:ilvl w:val="0"/>
                <w:numId w:val="2"/>
              </w:numPr>
            </w:pPr>
            <w:hyperlink r:id="rId8" w:tgtFrame="_blank" w:history="1">
              <w:r w:rsidRPr="00000B90">
                <w:rPr>
                  <w:rStyle w:val="Hyperlink"/>
                </w:rPr>
                <w:t>Using Chicago Manual of Style on Discussion Board Posts (Links to an external site</w:t>
              </w:r>
              <w:proofErr w:type="gramStart"/>
              <w:r w:rsidRPr="00000B90">
                <w:rPr>
                  <w:rStyle w:val="Hyperlink"/>
                </w:rPr>
                <w:t>.)Links</w:t>
              </w:r>
              <w:proofErr w:type="gramEnd"/>
              <w:r w:rsidRPr="00000B90">
                <w:rPr>
                  <w:rStyle w:val="Hyperlink"/>
                </w:rPr>
                <w:t xml:space="preserve"> to an external site.</w:t>
              </w:r>
            </w:hyperlink>
          </w:p>
          <w:p w14:paraId="70104B4B" w14:textId="77777777" w:rsidR="00000B90" w:rsidRPr="00000B90" w:rsidRDefault="00000B90" w:rsidP="00000B90">
            <w:r w:rsidRPr="00000B90">
              <w:t>To inform your work on this discussion, </w:t>
            </w:r>
            <w:r w:rsidRPr="00000B90">
              <w:rPr>
                <w:u w:val="single"/>
              </w:rPr>
              <w:t>select at least </w:t>
            </w:r>
            <w:r w:rsidRPr="00000B90">
              <w:rPr>
                <w:b/>
                <w:bCs/>
                <w:u w:val="single"/>
              </w:rPr>
              <w:t>one</w:t>
            </w:r>
            <w:r w:rsidRPr="00000B90">
              <w:rPr>
                <w:u w:val="single"/>
              </w:rPr>
              <w:t> scholarly source</w:t>
            </w:r>
            <w:r w:rsidRPr="00000B90">
              <w:t xml:space="preserve"> in addition to the required reading in Wiesner-Hanks that deals with an issue related to gender and family life. It is advisable that you choose a source that intersects with your own research interests in terms of topic, </w:t>
            </w:r>
            <w:proofErr w:type="gramStart"/>
            <w:r w:rsidRPr="00000B90">
              <w:t>time period</w:t>
            </w:r>
            <w:proofErr w:type="gramEnd"/>
            <w:r w:rsidRPr="00000B90">
              <w:t>, or region, as relevant to your Final Paper. Please select a unique source for each submission.</w:t>
            </w:r>
          </w:p>
          <w:p w14:paraId="3C2568E5" w14:textId="77777777" w:rsidR="00000B90" w:rsidRPr="00000B90" w:rsidRDefault="00000B90" w:rsidP="00000B90">
            <w:r w:rsidRPr="00000B90">
              <w:t>You can examine a scholarly article found in the Ashford Library, or an introduction and one chapter from a suggested book found in the Course Bibliography, located in the Course Home section in the left-hand navigation.</w:t>
            </w:r>
          </w:p>
          <w:p w14:paraId="0235DB5B" w14:textId="77777777" w:rsidR="00000B90" w:rsidRPr="00000B90" w:rsidRDefault="00000B90" w:rsidP="00000B90">
            <w:r w:rsidRPr="00000B90">
              <w:t>The </w:t>
            </w:r>
            <w:hyperlink r:id="rId9" w:tgtFrame="_blank" w:history="1">
              <w:r w:rsidRPr="00000B90">
                <w:rPr>
                  <w:rStyle w:val="Hyperlink"/>
                </w:rPr>
                <w:t>Scholarly, Peer Reviewed, and Other Credible Sources (Links to an external site.)Links to an external site.</w:t>
              </w:r>
            </w:hyperlink>
            <w:r w:rsidRPr="00000B90">
              <w:t xml:space="preserve"> table offers additional guidance on appropriate source types. You are encouraged to research scholarly articles using the Ashford University Library (e.g., through the JSTOR database) and scholarly books (e.g., through the ebrary database) in accordance with university policy on acceptable source use. If you have questions about whether a specific source is appropriate for this assignment, please contact your instructor. Your </w:t>
            </w:r>
            <w:r w:rsidRPr="00000B90">
              <w:lastRenderedPageBreak/>
              <w:t xml:space="preserve">instructor has the final say about the appropriateness of a specific source for a </w:t>
            </w:r>
            <w:proofErr w:type="gramStart"/>
            <w:r w:rsidRPr="00000B90">
              <w:t>particular assignment</w:t>
            </w:r>
            <w:proofErr w:type="gramEnd"/>
            <w:r w:rsidRPr="00000B90">
              <w:t>.</w:t>
            </w:r>
          </w:p>
        </w:tc>
        <w:tc>
          <w:tcPr>
            <w:tcW w:w="0" w:type="auto"/>
            <w:hideMark/>
          </w:tcPr>
          <w:p w14:paraId="672CF471" w14:textId="77777777" w:rsidR="00000B90" w:rsidRPr="00000B90" w:rsidRDefault="00000B90" w:rsidP="00000B90">
            <w:r w:rsidRPr="00000B90">
              <w:lastRenderedPageBreak/>
              <w:t> </w:t>
            </w:r>
          </w:p>
        </w:tc>
      </w:tr>
      <w:tr w:rsidR="00000B90" w:rsidRPr="00000B90" w14:paraId="629D4177" w14:textId="77777777" w:rsidTr="00000B90">
        <w:trPr>
          <w:tblCellSpacing w:w="37" w:type="dxa"/>
        </w:trPr>
        <w:tc>
          <w:tcPr>
            <w:tcW w:w="0" w:type="auto"/>
            <w:hideMark/>
          </w:tcPr>
          <w:p w14:paraId="247E51B0" w14:textId="0FFB0589" w:rsidR="00000B90" w:rsidRPr="00000B90" w:rsidRDefault="00000B90" w:rsidP="00000B90">
            <w:r w:rsidRPr="00000B90">
              <w:drawing>
                <wp:inline distT="0" distB="0" distL="0" distR="0" wp14:anchorId="52A880ED" wp14:editId="75E5E7D0">
                  <wp:extent cx="952500" cy="485775"/>
                  <wp:effectExtent l="0" t="0" r="0" b="9525"/>
                  <wp:docPr id="3" name="Picture 3" descr="Reflec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flect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485775"/>
                          </a:xfrm>
                          <a:prstGeom prst="rect">
                            <a:avLst/>
                          </a:prstGeom>
                          <a:noFill/>
                          <a:ln>
                            <a:noFill/>
                          </a:ln>
                        </pic:spPr>
                      </pic:pic>
                    </a:graphicData>
                  </a:graphic>
                </wp:inline>
              </w:drawing>
            </w:r>
          </w:p>
        </w:tc>
        <w:tc>
          <w:tcPr>
            <w:tcW w:w="0" w:type="auto"/>
            <w:hideMark/>
          </w:tcPr>
          <w:p w14:paraId="1D108FED" w14:textId="77777777" w:rsidR="00000B90" w:rsidRPr="00000B90" w:rsidRDefault="00000B90" w:rsidP="00000B90">
            <w:r w:rsidRPr="00000B90">
              <w:rPr>
                <w:b/>
                <w:bCs/>
              </w:rPr>
              <w:t>Reflect:</w:t>
            </w:r>
            <w:r w:rsidRPr="00000B90">
              <w:t> Over the past thirty years, the history of sexuality has expanded dramatically as a field of historical inquiry. Just as with other topics, sexuality, like gender, is variable across time and place. While Western concepts of sexuality have dominated the theoretical dimensions of the field, more recent scholarship has sought to examine non-Western contexts, including the ways that colonialism and imperialism shaped the construction of sexualized hierarchies of dominance and inferiority. Ideas about sexuality intersect with gender, shaping and being shaped by the relationships of power existing in social, cultural, religious, racial, ethnic, economic, and political structures. Consult </w:t>
            </w:r>
            <w:hyperlink r:id="rId11" w:tgtFrame="_blank" w:tooltip="Critical Thinking: A Guide to Skillful Reasoning" w:history="1">
              <w:r w:rsidRPr="00000B90">
                <w:rPr>
                  <w:rStyle w:val="Hyperlink"/>
                </w:rPr>
                <w:t>Critical Thinking: A Guide to Skillful Reasoning (Links to an external site.)Links to an external site.</w:t>
              </w:r>
            </w:hyperlink>
            <w:r w:rsidRPr="00000B90">
              <w:t> as you formulate your response.</w:t>
            </w:r>
          </w:p>
        </w:tc>
        <w:tc>
          <w:tcPr>
            <w:tcW w:w="0" w:type="auto"/>
            <w:hideMark/>
          </w:tcPr>
          <w:p w14:paraId="1F6E3969" w14:textId="77777777" w:rsidR="00000B90" w:rsidRPr="00000B90" w:rsidRDefault="00000B90" w:rsidP="00000B90">
            <w:r w:rsidRPr="00000B90">
              <w:t> </w:t>
            </w:r>
          </w:p>
        </w:tc>
      </w:tr>
      <w:tr w:rsidR="00000B90" w:rsidRPr="00000B90" w14:paraId="547B186A" w14:textId="77777777" w:rsidTr="00000B90">
        <w:trPr>
          <w:tblCellSpacing w:w="37" w:type="dxa"/>
        </w:trPr>
        <w:tc>
          <w:tcPr>
            <w:tcW w:w="0" w:type="auto"/>
            <w:hideMark/>
          </w:tcPr>
          <w:p w14:paraId="45E567A5" w14:textId="4914021B" w:rsidR="00000B90" w:rsidRPr="00000B90" w:rsidRDefault="00000B90" w:rsidP="00000B90">
            <w:r w:rsidRPr="00000B90">
              <w:drawing>
                <wp:inline distT="0" distB="0" distL="0" distR="0" wp14:anchorId="2566F820" wp14:editId="4398697F">
                  <wp:extent cx="952500" cy="485775"/>
                  <wp:effectExtent l="0" t="0" r="0" b="9525"/>
                  <wp:docPr id="2" name="Picture 2" descr="Wr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rite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485775"/>
                          </a:xfrm>
                          <a:prstGeom prst="rect">
                            <a:avLst/>
                          </a:prstGeom>
                          <a:noFill/>
                          <a:ln>
                            <a:noFill/>
                          </a:ln>
                        </pic:spPr>
                      </pic:pic>
                    </a:graphicData>
                  </a:graphic>
                </wp:inline>
              </w:drawing>
            </w:r>
          </w:p>
        </w:tc>
        <w:tc>
          <w:tcPr>
            <w:tcW w:w="0" w:type="auto"/>
            <w:hideMark/>
          </w:tcPr>
          <w:p w14:paraId="0CC5F09F" w14:textId="77777777" w:rsidR="00000B90" w:rsidRPr="00000B90" w:rsidRDefault="00000B90" w:rsidP="00000B90">
            <w:r w:rsidRPr="00000B90">
              <w:rPr>
                <w:b/>
                <w:bCs/>
              </w:rPr>
              <w:t>Write</w:t>
            </w:r>
            <w:r w:rsidRPr="00000B90">
              <w:rPr>
                <w:b/>
                <w:bCs/>
                <w:highlight w:val="yellow"/>
              </w:rPr>
              <w:t>:</w:t>
            </w:r>
            <w:r w:rsidRPr="00000B90">
              <w:rPr>
                <w:b/>
                <w:highlight w:val="yellow"/>
              </w:rPr>
              <w:t xml:space="preserve"> In an initial post of at least 250-300 words, assess the culturally and historically determined relationships between sexuality and gender as they intersect with social, cultural, religious, racial, ethnic, economic, or political structures. Using Chapter 8 as your launch point for general concepts, use your chosen reading to </w:t>
            </w:r>
            <w:r w:rsidRPr="00000B90">
              <w:rPr>
                <w:b/>
                <w:highlight w:val="yellow"/>
                <w:u w:val="single"/>
              </w:rPr>
              <w:t>illustrate one of the following points with reference to a specific historical context</w:t>
            </w:r>
            <w:r w:rsidRPr="00000B90">
              <w:rPr>
                <w:b/>
                <w:highlight w:val="yellow"/>
              </w:rPr>
              <w:t>. Remember to cite specific examples from the required reading and your chosen scholarly source in your response to one of the following points:</w:t>
            </w:r>
            <w:bookmarkStart w:id="0" w:name="_GoBack"/>
            <w:bookmarkEnd w:id="0"/>
          </w:p>
          <w:p w14:paraId="20ACC8C6" w14:textId="77777777" w:rsidR="00000B90" w:rsidRPr="00000B90" w:rsidRDefault="00000B90" w:rsidP="00000B90">
            <w:r w:rsidRPr="00000B90">
              <w:t> </w:t>
            </w:r>
          </w:p>
          <w:p w14:paraId="1F9F1292" w14:textId="77777777" w:rsidR="00000B90" w:rsidRPr="00000B90" w:rsidRDefault="00000B90" w:rsidP="00000B90">
            <w:pPr>
              <w:numPr>
                <w:ilvl w:val="0"/>
                <w:numId w:val="3"/>
              </w:numPr>
            </w:pPr>
            <w:r w:rsidRPr="00000B90">
              <w:t>How have distinctions and interrelations between sexuality and gender been a subject of scholarly controversy within the field of the history of sexuality? How has the work of Foucault shaped this scholarship? How did the development of feminist, gay, or lesbian studies impact this scholarship?</w:t>
            </w:r>
          </w:p>
          <w:p w14:paraId="34983F2F" w14:textId="77777777" w:rsidR="00000B90" w:rsidRPr="00000B90" w:rsidRDefault="00000B90" w:rsidP="00000B90">
            <w:pPr>
              <w:numPr>
                <w:ilvl w:val="0"/>
                <w:numId w:val="3"/>
              </w:numPr>
            </w:pPr>
            <w:r w:rsidRPr="00000B90">
              <w:t>How were ideas about sexuality and gender shaped by religious or spiritual beliefs? How did religious ceremonies or rituals reinforce or define ideas about sexuality?</w:t>
            </w:r>
          </w:p>
          <w:p w14:paraId="4FBCC73D" w14:textId="77777777" w:rsidR="00000B90" w:rsidRPr="00000B90" w:rsidRDefault="00000B90" w:rsidP="00000B90">
            <w:pPr>
              <w:numPr>
                <w:ilvl w:val="0"/>
                <w:numId w:val="3"/>
              </w:numPr>
            </w:pPr>
            <w:r w:rsidRPr="00000B90">
              <w:t>How did Western ideas about sexuality and gender impact contact with non-Western peoples? How did Western appraisal of non-Western sexuality contribute to notions of cultural superiority and inferiority in colonial contexts?</w:t>
            </w:r>
          </w:p>
          <w:p w14:paraId="18344ED9" w14:textId="77777777" w:rsidR="00000B90" w:rsidRPr="00000B90" w:rsidRDefault="00000B90" w:rsidP="00000B90">
            <w:pPr>
              <w:numPr>
                <w:ilvl w:val="0"/>
                <w:numId w:val="3"/>
              </w:numPr>
            </w:pPr>
            <w:r w:rsidRPr="00000B90">
              <w:t>How have societies defined deviance or disorder in sexualized terms? What individuals, groups, or institutions sought to define and control sexuality? For what reasons? With what effects?</w:t>
            </w:r>
          </w:p>
          <w:p w14:paraId="29C18C96" w14:textId="77777777" w:rsidR="00000B90" w:rsidRPr="00000B90" w:rsidRDefault="00000B90" w:rsidP="00000B90">
            <w:pPr>
              <w:numPr>
                <w:ilvl w:val="0"/>
                <w:numId w:val="3"/>
              </w:numPr>
            </w:pPr>
            <w:r w:rsidRPr="00000B90">
              <w:lastRenderedPageBreak/>
              <w:t>How has the interconnectedness between sexuality and gender affected identity formation? How have efforts to define and defend the legitimacy of sexual and gender identity affected the development of social movements? What forces in society have supported these movements? What forces have challenged these movements? With what rationales? With what outcomes? What are the broader implications of these social tensions?</w:t>
            </w:r>
          </w:p>
        </w:tc>
        <w:tc>
          <w:tcPr>
            <w:tcW w:w="0" w:type="auto"/>
            <w:hideMark/>
          </w:tcPr>
          <w:p w14:paraId="013B215A" w14:textId="77777777" w:rsidR="00000B90" w:rsidRPr="00000B90" w:rsidRDefault="00000B90" w:rsidP="00000B90">
            <w:r w:rsidRPr="00000B90">
              <w:lastRenderedPageBreak/>
              <w:t> </w:t>
            </w:r>
          </w:p>
        </w:tc>
      </w:tr>
      <w:tr w:rsidR="00000B90" w:rsidRPr="00000B90" w14:paraId="3F9D23AE" w14:textId="77777777" w:rsidTr="00000B90">
        <w:trPr>
          <w:tblCellSpacing w:w="37" w:type="dxa"/>
        </w:trPr>
        <w:tc>
          <w:tcPr>
            <w:tcW w:w="0" w:type="auto"/>
            <w:hideMark/>
          </w:tcPr>
          <w:p w14:paraId="1164867C" w14:textId="45247413" w:rsidR="00000B90" w:rsidRPr="00000B90" w:rsidRDefault="00000B90" w:rsidP="00000B90">
            <w:r w:rsidRPr="00000B90">
              <w:drawing>
                <wp:inline distT="0" distB="0" distL="0" distR="0" wp14:anchorId="7A49B4B2" wp14:editId="3C19CEEF">
                  <wp:extent cx="952500" cy="485775"/>
                  <wp:effectExtent l="0" t="0" r="0" b="9525"/>
                  <wp:docPr id="1" name="Picture 1" descr="Discu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cuss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485775"/>
                          </a:xfrm>
                          <a:prstGeom prst="rect">
                            <a:avLst/>
                          </a:prstGeom>
                          <a:noFill/>
                          <a:ln>
                            <a:noFill/>
                          </a:ln>
                        </pic:spPr>
                      </pic:pic>
                    </a:graphicData>
                  </a:graphic>
                </wp:inline>
              </w:drawing>
            </w:r>
          </w:p>
        </w:tc>
        <w:tc>
          <w:tcPr>
            <w:tcW w:w="0" w:type="auto"/>
            <w:hideMark/>
          </w:tcPr>
          <w:p w14:paraId="5887F82B" w14:textId="77777777" w:rsidR="00000B90" w:rsidRPr="00000B90" w:rsidRDefault="00000B90" w:rsidP="00000B90">
            <w:r w:rsidRPr="00000B90">
              <w:rPr>
                <w:b/>
                <w:bCs/>
              </w:rPr>
              <w:t>Respond to Peers:</w:t>
            </w:r>
            <w:r w:rsidRPr="00000B90">
              <w:t> Respond to at least two of your classmates’ posts by Day 7. In your responses of at least 150 words each, compare your perspectives with those of your colleagues. Consult the </w:t>
            </w:r>
            <w:hyperlink r:id="rId14" w:tgtFrame="_blank" w:tooltip="Critical Thinking: A Guide to Skillful Reasoning" w:history="1">
              <w:r w:rsidRPr="00000B90">
                <w:rPr>
                  <w:rStyle w:val="Hyperlink"/>
                </w:rPr>
                <w:t xml:space="preserve">Critical Thinking: A Guide to Skillful Reasoning (Links to an external site.)Links to an external </w:t>
              </w:r>
              <w:proofErr w:type="spellStart"/>
              <w:r w:rsidRPr="00000B90">
                <w:rPr>
                  <w:rStyle w:val="Hyperlink"/>
                </w:rPr>
                <w:t>site.</w:t>
              </w:r>
            </w:hyperlink>
            <w:r w:rsidRPr="00000B90">
              <w:t>resource</w:t>
            </w:r>
            <w:proofErr w:type="spellEnd"/>
            <w:r w:rsidRPr="00000B90">
              <w:t>. Provide an example of critical thinking that you found in your colleague’s post. How did your classmate’s use of critical thinking impact how you thought about the topic? After considering your colleague’s findings and reconsidering your own, what sources or ideas might provide more insight into this issue? What further questions can be asked?</w:t>
            </w:r>
          </w:p>
        </w:tc>
        <w:tc>
          <w:tcPr>
            <w:tcW w:w="0" w:type="auto"/>
            <w:vAlign w:val="center"/>
            <w:hideMark/>
          </w:tcPr>
          <w:p w14:paraId="73488181" w14:textId="77777777" w:rsidR="00000B90" w:rsidRPr="00000B90" w:rsidRDefault="00000B90" w:rsidP="00000B90"/>
        </w:tc>
      </w:tr>
    </w:tbl>
    <w:p w14:paraId="569F7B98" w14:textId="77777777" w:rsidR="0033598E" w:rsidRDefault="0033598E"/>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C76FE"/>
    <w:multiLevelType w:val="multilevel"/>
    <w:tmpl w:val="6D8E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292584"/>
    <w:multiLevelType w:val="multilevel"/>
    <w:tmpl w:val="C838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C723D1"/>
    <w:multiLevelType w:val="multilevel"/>
    <w:tmpl w:val="6C76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B90"/>
    <w:rsid w:val="00000B90"/>
    <w:rsid w:val="0033598E"/>
    <w:rsid w:val="0064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50E2"/>
  <w15:chartTrackingRefBased/>
  <w15:docId w15:val="{8EC56665-F3B7-4968-8D91-D8D87841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0B90"/>
    <w:rPr>
      <w:color w:val="0563C1" w:themeColor="hyperlink"/>
      <w:u w:val="single"/>
    </w:rPr>
  </w:style>
  <w:style w:type="character" w:styleId="UnresolvedMention">
    <w:name w:val="Unresolved Mention"/>
    <w:basedOn w:val="DefaultParagraphFont"/>
    <w:uiPriority w:val="99"/>
    <w:semiHidden/>
    <w:unhideWhenUsed/>
    <w:rsid w:val="00000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2972982">
      <w:bodyDiv w:val="1"/>
      <w:marLeft w:val="0"/>
      <w:marRight w:val="0"/>
      <w:marTop w:val="0"/>
      <w:marBottom w:val="0"/>
      <w:divBdr>
        <w:top w:val="none" w:sz="0" w:space="0" w:color="auto"/>
        <w:left w:val="none" w:sz="0" w:space="0" w:color="auto"/>
        <w:bottom w:val="none" w:sz="0" w:space="0" w:color="auto"/>
        <w:right w:val="none" w:sz="0" w:space="0" w:color="auto"/>
      </w:divBdr>
      <w:divsChild>
        <w:div w:id="819272739">
          <w:marLeft w:val="0"/>
          <w:marRight w:val="0"/>
          <w:marTop w:val="0"/>
          <w:marBottom w:val="0"/>
          <w:divBdr>
            <w:top w:val="none" w:sz="0" w:space="0" w:color="auto"/>
            <w:left w:val="none" w:sz="0" w:space="0" w:color="auto"/>
            <w:bottom w:val="none" w:sz="0" w:space="0" w:color="auto"/>
            <w:right w:val="none" w:sz="0" w:space="0" w:color="auto"/>
          </w:divBdr>
          <w:divsChild>
            <w:div w:id="1674531957">
              <w:marLeft w:val="0"/>
              <w:marRight w:val="0"/>
              <w:marTop w:val="0"/>
              <w:marBottom w:val="0"/>
              <w:divBdr>
                <w:top w:val="none" w:sz="0" w:space="0" w:color="auto"/>
                <w:left w:val="none" w:sz="0" w:space="0" w:color="auto"/>
                <w:bottom w:val="none" w:sz="0" w:space="0" w:color="auto"/>
                <w:right w:val="none" w:sz="0" w:space="0" w:color="auto"/>
              </w:divBdr>
            </w:div>
            <w:div w:id="1701927433">
              <w:marLeft w:val="0"/>
              <w:marRight w:val="0"/>
              <w:marTop w:val="0"/>
              <w:marBottom w:val="0"/>
              <w:divBdr>
                <w:top w:val="none" w:sz="0" w:space="0" w:color="auto"/>
                <w:left w:val="none" w:sz="0" w:space="0" w:color="auto"/>
                <w:bottom w:val="none" w:sz="0" w:space="0" w:color="auto"/>
                <w:right w:val="none" w:sz="0" w:space="0" w:color="auto"/>
              </w:divBdr>
              <w:divsChild>
                <w:div w:id="82779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4644">
          <w:marLeft w:val="0"/>
          <w:marRight w:val="0"/>
          <w:marTop w:val="0"/>
          <w:marBottom w:val="0"/>
          <w:divBdr>
            <w:top w:val="none" w:sz="0" w:space="0" w:color="auto"/>
            <w:left w:val="none" w:sz="0" w:space="0" w:color="auto"/>
            <w:bottom w:val="none" w:sz="0" w:space="0" w:color="auto"/>
            <w:right w:val="none" w:sz="0" w:space="0" w:color="auto"/>
          </w:divBdr>
          <w:divsChild>
            <w:div w:id="639463401">
              <w:marLeft w:val="0"/>
              <w:marRight w:val="0"/>
              <w:marTop w:val="0"/>
              <w:marBottom w:val="0"/>
              <w:divBdr>
                <w:top w:val="none" w:sz="0" w:space="0" w:color="auto"/>
                <w:left w:val="none" w:sz="0" w:space="0" w:color="auto"/>
                <w:bottom w:val="none" w:sz="0" w:space="0" w:color="auto"/>
                <w:right w:val="none" w:sz="0" w:space="0" w:color="auto"/>
              </w:divBdr>
              <w:divsChild>
                <w:div w:id="246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shford.mediaspace.kaltura.com/media/HIS378A+Using+CMS+in+the+Discussion+Board/0_5kdkgp68"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criticalthinkingandreasoning.org/evaluating-critical-thinking"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ites.google.com/site/anatomyofadiscussionboard/home" TargetMode="External"/><Relationship Id="rId11" Type="http://schemas.openxmlformats.org/officeDocument/2006/relationships/hyperlink" Target="https://www.criticalthinkingandreasoning.org/evaluating-critical-thinking"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content.bridgepointeducation.com/curriculum/file/b2d6fb25-629e-42e1-a13e-43bf67043c8a/1/Scholarly,%20Peer%20Reviewed,%20and%20Other%20Credible%20Sources.docx" TargetMode="External"/><Relationship Id="rId14" Type="http://schemas.openxmlformats.org/officeDocument/2006/relationships/hyperlink" Target="https://www.criticalthinkingandreasoning.org/evaluating-critical-thi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2018-07-24T07:28:00Z</dcterms:created>
  <dcterms:modified xsi:type="dcterms:W3CDTF">2018-07-24T07:30:00Z</dcterms:modified>
</cp:coreProperties>
</file>